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media/image3.png" ContentType="image/png"/>
  <Override PartName="/word/media/image2.wmf" ContentType="image/x-wmf"/>
  <Override PartName="/word/settings.xml" ContentType="application/vnd.openxmlformats-officedocument.wordprocessingml.settings+xml"/>
  <Override PartName="/word/embeddings/oleObject1.bin" ContentType="application/vnd.openxmlformats-officedocument.oleObject"/>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rPr>
          <w:rFonts w:ascii="Times" w:hAnsi="Times" w:cs="Times"/>
          <w:color w:val="000000"/>
        </w:rPr>
      </w:pPr>
      <w:r>
        <w:rPr>
          <w:rFonts w:cs="Times" w:ascii="Times" w:hAnsi="Times"/>
          <w:b/>
          <w:color w:val="000000"/>
        </w:rPr>
        <w:t>Curriculum Topic Benchmarks</w:t>
      </w:r>
      <w:r>
        <w:rPr>
          <w:rFonts w:cs="Times" w:ascii="Times" w:hAnsi="Times"/>
          <w:color w:val="000000"/>
        </w:rPr>
        <w:t>: M1.4.1, M2.4.6, M3.4.3, M4.4.6, M4.4.8, M5.4.17</w:t>
      </w:r>
    </w:p>
    <w:p>
      <w:pPr>
        <w:pStyle w:val="Normal"/>
        <w:ind w:end="-720" w:hanging="0"/>
        <w:rPr/>
      </w:pPr>
      <w:r>
        <w:rPr>
          <w:rFonts w:cs="Times" w:ascii="Times" w:hAnsi="Times"/>
          <w:b/>
          <w:color w:val="000000"/>
        </w:rPr>
        <w:t>Grade Level</w:t>
      </w:r>
      <w:r>
        <w:rPr>
          <w:rFonts w:cs="Times" w:ascii="Times" w:hAnsi="Times"/>
          <w:color w:val="000000"/>
        </w:rPr>
        <w:t>: High School [9-12]</w:t>
      </w:r>
    </w:p>
    <w:p>
      <w:pPr>
        <w:pStyle w:val="Normal"/>
        <w:ind w:end="-720" w:hanging="0"/>
        <w:rPr>
          <w:rFonts w:ascii="Times" w:hAnsi="Times" w:cs="Times"/>
          <w:color w:val="000000"/>
        </w:rPr>
      </w:pPr>
      <w:r>
        <w:rPr>
          <w:rFonts w:cs="Times" w:ascii="Times" w:hAnsi="Times"/>
          <w:b/>
          <w:color w:val="000000"/>
        </w:rPr>
        <w:t>Subject Keywords</w:t>
      </w:r>
      <w:r>
        <w:rPr>
          <w:rFonts w:cs="Times" w:ascii="Times" w:hAnsi="Times"/>
          <w:color w:val="000000"/>
        </w:rPr>
        <w:t>: Area, Estimation, Proportion, Geometry, Surface Area, Scaling</w:t>
      </w:r>
    </w:p>
    <w:p>
      <w:pPr>
        <w:pStyle w:val="Normal"/>
        <w:ind w:end="-720" w:hanging="0"/>
        <w:rPr/>
      </w:pPr>
      <w:r>
        <w:rPr>
          <w:rFonts w:cs="Times" w:ascii="Times" w:hAnsi="Times"/>
          <w:b/>
          <w:color w:val="000000"/>
        </w:rPr>
        <w:t>Rating</w:t>
      </w:r>
      <w:r>
        <w:rPr>
          <w:rFonts w:cs="Times" w:ascii="Times" w:hAnsi="Times"/>
          <w:color w:val="000000"/>
        </w:rPr>
        <w:t>: Moderate</w:t>
      </w:r>
    </w:p>
    <w:p>
      <w:pPr>
        <w:pStyle w:val="Normal"/>
        <w:ind w:end="-720" w:hanging="0"/>
        <w:rPr>
          <w:rFonts w:ascii="Times" w:hAnsi="Times" w:cs="Times"/>
          <w:color w:val="000000"/>
        </w:rPr>
      </w:pPr>
      <w:r>
        <w:rPr>
          <w:rFonts w:cs="Times" w:ascii="Times" w:hAnsi="Times"/>
          <w:color w:val="000000"/>
        </w:rPr>
      </w:r>
    </w:p>
    <w:p>
      <w:pPr>
        <w:pStyle w:val="Normal"/>
        <w:ind w:end="-720" w:hanging="0"/>
        <w:jc w:val="center"/>
        <w:rPr>
          <w:rFonts w:ascii="Times" w:hAnsi="Times" w:cs="Times"/>
          <w:b/>
          <w:b/>
          <w:color w:val="000000"/>
          <w:sz w:val="40"/>
        </w:rPr>
      </w:pPr>
      <w:r>
        <w:rPr>
          <w:rFonts w:cs="Times" w:ascii="Times" w:hAnsi="Times"/>
          <w:b/>
          <w:color w:val="000000"/>
          <w:sz w:val="40"/>
        </w:rPr>
        <w:t>Estimation of Planar Areas Using Analogue Methods</w:t>
      </w:r>
    </w:p>
    <w:p>
      <w:pPr>
        <w:pStyle w:val="Normal"/>
        <w:ind w:end="-720" w:hanging="0"/>
        <w:rPr>
          <w:rFonts w:ascii="Times" w:hAnsi="Times" w:cs="Times"/>
          <w:b/>
          <w:b/>
          <w:color w:val="000000"/>
          <w:sz w:val="40"/>
        </w:rPr>
      </w:pPr>
      <w:r>
        <w:rPr>
          <w:rFonts w:cs="Times" w:ascii="Times" w:hAnsi="Times"/>
          <w:b/>
          <w:color w:val="000000"/>
          <w:sz w:val="40"/>
        </w:rPr>
      </w:r>
    </w:p>
    <w:p>
      <w:pPr>
        <w:pStyle w:val="Normal"/>
        <w:ind w:end="-720" w:hanging="0"/>
        <w:rPr>
          <w:rFonts w:ascii="Times" w:hAnsi="Times" w:cs="Times"/>
          <w:color w:val="000000"/>
        </w:rPr>
      </w:pPr>
      <w:r>
        <w:rPr>
          <w:rFonts w:cs="Times" w:ascii="Times" w:hAnsi="Times"/>
          <w:b/>
          <w:color w:val="000000"/>
        </w:rPr>
        <w:t>By:</w:t>
      </w:r>
      <w:r>
        <w:rPr>
          <w:rFonts w:cs="Times" w:ascii="Times" w:hAnsi="Times"/>
          <w:color w:val="000000"/>
        </w:rPr>
        <w:t xml:space="preserve"> Dr. Philip Gabriel, Colorado State University, Dept. of Atmospheric Science, Fort Collins, CO, 80521.  S. Kathryn Grimes, Poudre School District, Fort Collins, CO, 80521</w:t>
      </w:r>
    </w:p>
    <w:p>
      <w:pPr>
        <w:pStyle w:val="Normal"/>
        <w:ind w:end="-720" w:hanging="0"/>
        <w:rPr>
          <w:rFonts w:ascii="Times" w:hAnsi="Times" w:cs="Times"/>
          <w:color w:val="000000"/>
        </w:rPr>
      </w:pPr>
      <w:r>
        <w:rPr>
          <w:rFonts w:cs="Times" w:ascii="Times" w:hAnsi="Times"/>
          <w:color w:val="000000"/>
        </w:rPr>
        <w:t xml:space="preserve">e-mail: </w:t>
      </w:r>
      <w:hyperlink r:id="rId2">
        <w:r>
          <w:rPr>
            <w:rStyle w:val="InternetLink"/>
            <w:rFonts w:cs="Times" w:ascii="Times" w:hAnsi="Times"/>
          </w:rPr>
          <w:t>gabriel@atmos.colostate.edu</w:t>
        </w:r>
      </w:hyperlink>
      <w:r>
        <w:rPr>
          <w:rFonts w:cs="Times" w:ascii="Times" w:hAnsi="Times"/>
          <w:color w:val="000000"/>
        </w:rPr>
        <w:t xml:space="preserve">, </w:t>
      </w:r>
      <w:hyperlink r:id="rId3">
        <w:r>
          <w:rPr>
            <w:rStyle w:val="InternetLink"/>
            <w:rFonts w:cs="Times" w:ascii="Times" w:hAnsi="Times"/>
          </w:rPr>
          <w:t>skathryngrimes@comcast.net</w:t>
        </w:r>
      </w:hyperlink>
    </w:p>
    <w:p>
      <w:pPr>
        <w:pStyle w:val="Normal"/>
        <w:ind w:end="-720" w:hanging="0"/>
        <w:rPr>
          <w:rFonts w:ascii="Times" w:hAnsi="Times" w:cs="Times"/>
          <w:color w:val="000000"/>
        </w:rPr>
      </w:pPr>
      <w:r>
        <w:rPr>
          <w:rFonts w:cs="Times" w:ascii="Times" w:hAnsi="Times"/>
          <w:color w:val="000000"/>
        </w:rPr>
      </w:r>
    </w:p>
    <w:p>
      <w:pPr>
        <w:pStyle w:val="Normal"/>
        <w:ind w:end="-720" w:hanging="0"/>
        <w:jc w:val="both"/>
        <w:rPr>
          <w:b/>
          <w:b/>
          <w:i/>
          <w:i/>
        </w:rPr>
      </w:pPr>
      <w:r>
        <w:rPr>
          <w:b/>
          <w:i/>
        </w:rPr>
        <w:t>Purpose</w:t>
      </w:r>
    </w:p>
    <w:p>
      <w:pPr>
        <w:pStyle w:val="Normal"/>
        <w:ind w:end="-720" w:hanging="0"/>
        <w:jc w:val="both"/>
        <w:rPr/>
      </w:pPr>
      <w:r>
        <w:rPr/>
        <w:t>To determine areas of simple and complex planar figures using measurement of mass and proportional constructs.</w:t>
      </w:r>
    </w:p>
    <w:p>
      <w:pPr>
        <w:pStyle w:val="Normal"/>
        <w:ind w:end="-720" w:hanging="0"/>
        <w:jc w:val="both"/>
        <w:rPr/>
      </w:pPr>
      <w:r>
        <w:rPr/>
        <w:t xml:space="preserve">  </w:t>
      </w:r>
    </w:p>
    <w:p>
      <w:pPr>
        <w:pStyle w:val="Normal"/>
        <w:ind w:end="-720" w:hanging="0"/>
        <w:jc w:val="both"/>
        <w:rPr>
          <w:b/>
          <w:b/>
          <w:i/>
          <w:i/>
        </w:rPr>
      </w:pPr>
      <w:r>
        <w:rPr>
          <w:b/>
          <w:i/>
        </w:rPr>
        <w:t>Materials</w:t>
      </w:r>
    </w:p>
    <w:p>
      <w:pPr>
        <w:pStyle w:val="Normal"/>
        <w:numPr>
          <w:ilvl w:val="0"/>
          <w:numId w:val="1"/>
        </w:numPr>
        <w:ind w:start="1440" w:end="-720" w:hanging="360"/>
        <w:jc w:val="both"/>
        <w:rPr/>
      </w:pPr>
      <w:r>
        <w:rPr/>
        <w:t>Poster board or oak tag</w:t>
      </w:r>
    </w:p>
    <w:p>
      <w:pPr>
        <w:pStyle w:val="Normal"/>
        <w:numPr>
          <w:ilvl w:val="0"/>
          <w:numId w:val="1"/>
        </w:numPr>
        <w:ind w:start="1440" w:end="-720" w:hanging="360"/>
        <w:jc w:val="both"/>
        <w:rPr/>
      </w:pPr>
      <w:r>
        <w:rPr/>
        <w:t>Scissors or other precise cutting tool</w:t>
      </w:r>
    </w:p>
    <w:p>
      <w:pPr>
        <w:pStyle w:val="Normal"/>
        <w:numPr>
          <w:ilvl w:val="0"/>
          <w:numId w:val="1"/>
        </w:numPr>
        <w:ind w:start="1440" w:end="-720" w:hanging="360"/>
        <w:jc w:val="both"/>
        <w:rPr/>
      </w:pPr>
      <w:r>
        <w:rPr/>
        <w:t>Ruler</w:t>
      </w:r>
    </w:p>
    <w:p>
      <w:pPr>
        <w:pStyle w:val="Normal"/>
        <w:numPr>
          <w:ilvl w:val="0"/>
          <w:numId w:val="1"/>
        </w:numPr>
        <w:ind w:start="1440" w:end="-720" w:hanging="360"/>
        <w:jc w:val="both"/>
        <w:rPr/>
      </w:pPr>
      <w:r>
        <w:rPr/>
        <w:t>Sharp pencil</w:t>
      </w:r>
    </w:p>
    <w:p>
      <w:pPr>
        <w:pStyle w:val="Normal"/>
        <w:numPr>
          <w:ilvl w:val="0"/>
          <w:numId w:val="1"/>
        </w:numPr>
        <w:ind w:start="1440" w:end="-720" w:hanging="360"/>
        <w:jc w:val="both"/>
        <w:rPr/>
      </w:pPr>
      <w:r>
        <w:rPr/>
        <w:t>Right angle</w:t>
      </w:r>
    </w:p>
    <w:p>
      <w:pPr>
        <w:pStyle w:val="Normal"/>
        <w:numPr>
          <w:ilvl w:val="0"/>
          <w:numId w:val="1"/>
        </w:numPr>
        <w:ind w:start="1440" w:end="-720" w:hanging="360"/>
        <w:jc w:val="both"/>
        <w:rPr/>
      </w:pPr>
      <w:r>
        <w:rPr/>
        <w:t xml:space="preserve">Analytical balance (0.1 milligram readability) </w:t>
      </w:r>
    </w:p>
    <w:p>
      <w:pPr>
        <w:pStyle w:val="Normal"/>
        <w:ind w:end="-720" w:hanging="0"/>
        <w:jc w:val="both"/>
        <w:rPr/>
      </w:pPr>
      <w:r>
        <w:rPr/>
      </w:r>
    </w:p>
    <w:p>
      <w:pPr>
        <w:pStyle w:val="Normal"/>
        <w:ind w:end="-720" w:hanging="0"/>
        <w:jc w:val="both"/>
        <w:rPr>
          <w:b/>
          <w:b/>
          <w:i/>
          <w:i/>
        </w:rPr>
      </w:pPr>
      <w:r>
        <w:rPr>
          <w:b/>
          <w:i/>
        </w:rPr>
        <w:t>Procedure</w:t>
      </w:r>
    </w:p>
    <w:p>
      <w:pPr>
        <w:pStyle w:val="Normal"/>
        <w:ind w:end="-720" w:hanging="0"/>
        <w:jc w:val="both"/>
        <w:rPr/>
      </w:pPr>
      <w:r>
        <w:rPr/>
        <w:t xml:space="preserve">Using a sharpened pencil, ruler and right angle, draw a square on the poster board or oak tag. </w:t>
      </w:r>
    </w:p>
    <w:p>
      <w:pPr>
        <w:pStyle w:val="Normal"/>
        <w:ind w:end="-720" w:hanging="0"/>
        <w:jc w:val="both"/>
        <w:rPr/>
      </w:pPr>
      <w:r>
        <w:rPr/>
        <w:t xml:space="preserve">Cut out the square precisely. The size of the square should fit </w:t>
      </w:r>
      <w:r>
        <w:rPr>
          <w:b/>
          <w:i/>
        </w:rPr>
        <w:t>inside</w:t>
      </w:r>
      <w:r>
        <w:rPr/>
        <w:t xml:space="preserve"> the weighing pan (for the examples below, we used a Mettler AB204-S analytical balance).   </w:t>
      </w:r>
    </w:p>
    <w:p>
      <w:pPr>
        <w:pStyle w:val="Normal"/>
        <w:ind w:end="-720" w:hanging="0"/>
        <w:jc w:val="both"/>
        <w:rPr/>
      </w:pPr>
      <w:r>
        <w:rPr/>
        <w:t xml:space="preserve">Draw and cut out other shapes of interest as suggested by the illustration below. </w:t>
      </w:r>
    </w:p>
    <w:p>
      <w:pPr>
        <w:pStyle w:val="Normal"/>
        <w:ind w:end="-720" w:hanging="0"/>
        <w:jc w:val="both"/>
        <w:rPr/>
      </w:pPr>
      <w:r>
        <w:rPr/>
      </w:r>
    </w:p>
    <w:p>
      <w:pPr>
        <w:pStyle w:val="Normal"/>
        <w:ind w:end="-720" w:hanging="0"/>
        <w:jc w:val="both"/>
        <w:rPr/>
      </w:pPr>
      <w:r>
        <w:rPr/>
        <w:t xml:space="preserve">            </w:t>
      </w:r>
      <w:r>
        <w:rPr/>
        <w:drawing>
          <wp:inline distT="0" distB="0" distL="0" distR="0">
            <wp:extent cx="4806315" cy="3042920"/>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4"/>
                    <a:srcRect l="-1" t="-2" r="-1" b="-2"/>
                    <a:stretch>
                      <a:fillRect/>
                    </a:stretch>
                  </pic:blipFill>
                  <pic:spPr bwMode="auto">
                    <a:xfrm>
                      <a:off x="0" y="0"/>
                      <a:ext cx="4806315" cy="3042920"/>
                    </a:xfrm>
                    <a:prstGeom prst="rect">
                      <a:avLst/>
                    </a:prstGeom>
                  </pic:spPr>
                </pic:pic>
              </a:graphicData>
            </a:graphic>
          </wp:inline>
        </w:drawing>
      </w:r>
    </w:p>
    <w:p>
      <w:pPr>
        <w:pStyle w:val="Normal"/>
        <w:ind w:end="-720" w:hanging="0"/>
        <w:jc w:val="both"/>
        <w:rPr/>
      </w:pPr>
      <w:r>
        <w:rPr/>
      </w:r>
    </w:p>
    <w:p>
      <w:pPr>
        <w:pStyle w:val="Normal"/>
        <w:ind w:end="-720" w:hanging="0"/>
        <w:jc w:val="both"/>
        <w:rPr/>
      </w:pPr>
      <w:r>
        <w:rPr>
          <w:b/>
        </w:rPr>
        <w:t>Fig. 1</w:t>
      </w:r>
      <w:r>
        <w:rPr/>
        <w:t xml:space="preserve"> Circle: diameter=2.50 inches, mass=0.5920 grams; Square: side=2.50 inches, mass=0.7329 grams; Regular Pentagon: side=1.50 inches, mass=0.4551 grams; Ellipse: semi-major axis=2.25 inches, semi-minor axis=1.6563 inches, mass=0.3385; Equilateral Triangle: side=2.50 inches, mass=0.3203 grams; Irregular: extreme dimensions=2.625 inches, 1.75 inches, weight=0.2819 grams; Regular Hexagon: side=1.25 inches, mass=0.4844 grams </w:t>
      </w:r>
    </w:p>
    <w:p>
      <w:pPr>
        <w:pStyle w:val="Normal"/>
        <w:ind w:end="-720" w:hanging="0"/>
        <w:jc w:val="both"/>
        <w:rPr>
          <w:b/>
          <w:b/>
          <w:i/>
          <w:i/>
        </w:rPr>
      </w:pPr>
      <w:r>
        <w:rPr>
          <w:b/>
          <w:i/>
        </w:rPr>
      </w:r>
    </w:p>
    <w:p>
      <w:pPr>
        <w:pStyle w:val="Normal"/>
        <w:ind w:end="-720" w:hanging="0"/>
        <w:jc w:val="both"/>
        <w:rPr/>
      </w:pPr>
      <w:r>
        <w:rPr/>
        <w:t>Turn on balance and allow for it to warm up according to its specifications. Weigh each shape to determine its mass, recording each value. Infer the area of each figure using the proportion:</w:t>
      </w:r>
    </w:p>
    <w:p>
      <w:pPr>
        <w:pStyle w:val="Normal"/>
        <w:ind w:end="-720" w:hanging="0"/>
        <w:jc w:val="both"/>
        <w:rPr/>
      </w:pPr>
      <w:r>
        <w:rPr/>
      </w:r>
    </w:p>
    <w:p>
      <w:pPr>
        <w:pStyle w:val="Normal"/>
        <w:ind w:end="-720" w:hanging="0"/>
        <w:jc w:val="both"/>
        <w:rPr>
          <w:b/>
          <w:b/>
          <w:i/>
          <w:i/>
        </w:rPr>
      </w:pPr>
      <w:r>
        <w:rPr/>
        <w:t xml:space="preserve">                                    </w:t>
      </w:r>
      <w:r>
        <w:rPr/>
        <w:object w:dxaOrig="3700" w:dyaOrig="660">
          <v:shape id="ole_rId5" style="width:185pt;height:33pt" o:ole="">
            <v:imagedata r:id="rId6" o:title=""/>
          </v:shape>
          <o:OLEObject Type="Embed" ProgID="" ShapeID="ole_rId5" DrawAspect="Content" ObjectID="_1890006897" r:id="rId5"/>
        </w:object>
      </w:r>
      <w:r>
        <w:rPr/>
        <w:t xml:space="preserve"> </w:t>
      </w:r>
    </w:p>
    <w:p>
      <w:pPr>
        <w:pStyle w:val="Normal"/>
        <w:ind w:end="-720" w:hanging="0"/>
        <w:jc w:val="both"/>
        <w:rPr>
          <w:b/>
          <w:b/>
          <w:i/>
          <w:i/>
        </w:rPr>
      </w:pPr>
      <w:r>
        <w:rPr>
          <w:b/>
          <w:i/>
        </w:rPr>
      </w:r>
    </w:p>
    <w:p>
      <w:pPr>
        <w:pStyle w:val="Normal"/>
        <w:ind w:end="-720" w:hanging="0"/>
        <w:jc w:val="both"/>
        <w:rPr>
          <w:b/>
          <w:b/>
          <w:i/>
          <w:i/>
        </w:rPr>
      </w:pPr>
      <w:r>
        <w:rPr>
          <w:b/>
          <w:i/>
        </w:rPr>
        <w:t>Results</w:t>
      </w:r>
    </w:p>
    <w:p>
      <w:pPr>
        <w:pStyle w:val="Normal"/>
        <w:ind w:end="-720" w:hanging="0"/>
        <w:jc w:val="both"/>
        <w:rPr/>
      </w:pPr>
      <w:r>
        <w:rPr/>
        <w:t>Using the simple proportion, we inferred the areas shown in table 1.</w:t>
      </w:r>
    </w:p>
    <w:p>
      <w:pPr>
        <w:pStyle w:val="Normal"/>
        <w:ind w:end="-720" w:hanging="0"/>
        <w:jc w:val="both"/>
        <w:rPr/>
      </w:pPr>
      <w:r>
        <w:rPr/>
      </w:r>
    </w:p>
    <w:tbl>
      <w:tblPr>
        <w:tblW w:w="5328" w:type="dxa"/>
        <w:jc w:val="center"/>
        <w:tblInd w:w="0" w:type="dxa"/>
        <w:tblCellMar>
          <w:top w:w="0" w:type="dxa"/>
          <w:start w:w="108" w:type="dxa"/>
          <w:bottom w:w="0" w:type="dxa"/>
          <w:end w:w="108" w:type="dxa"/>
        </w:tblCellMar>
      </w:tblPr>
      <w:tblGrid>
        <w:gridCol w:w="1188"/>
        <w:gridCol w:w="1260"/>
        <w:gridCol w:w="1564"/>
        <w:gridCol w:w="1316"/>
      </w:tblGrid>
      <w:tr>
        <w:trPr/>
        <w:tc>
          <w:tcPr>
            <w:tcW w:w="1188" w:type="dxa"/>
            <w:tcBorders>
              <w:bottom w:val="single" w:sz="12" w:space="0" w:color="000000"/>
            </w:tcBorders>
            <w:shd w:fill="800000" w:val="clear"/>
          </w:tcPr>
          <w:p>
            <w:pPr>
              <w:pStyle w:val="Normal"/>
              <w:ind w:end="-720" w:hanging="0"/>
              <w:jc w:val="both"/>
              <w:rPr/>
            </w:pPr>
            <w:r>
              <w:rPr/>
              <w:t>Shape</w:t>
            </w:r>
          </w:p>
        </w:tc>
        <w:tc>
          <w:tcPr>
            <w:tcW w:w="1260" w:type="dxa"/>
            <w:tcBorders>
              <w:bottom w:val="single" w:sz="12" w:space="0" w:color="000000"/>
            </w:tcBorders>
            <w:shd w:fill="800000" w:val="clear"/>
          </w:tcPr>
          <w:p>
            <w:pPr>
              <w:pStyle w:val="Normal"/>
              <w:ind w:end="-720" w:hanging="0"/>
              <w:jc w:val="both"/>
              <w:rPr/>
            </w:pPr>
            <w:r>
              <w:rPr/>
              <w:t>True Area</w:t>
            </w:r>
          </w:p>
        </w:tc>
        <w:tc>
          <w:tcPr>
            <w:tcW w:w="1564" w:type="dxa"/>
            <w:tcBorders>
              <w:bottom w:val="single" w:sz="12" w:space="0" w:color="000000"/>
            </w:tcBorders>
            <w:shd w:fill="800000" w:val="clear"/>
          </w:tcPr>
          <w:p>
            <w:pPr>
              <w:pStyle w:val="Normal"/>
              <w:ind w:end="-720" w:hanging="0"/>
              <w:jc w:val="both"/>
              <w:rPr/>
            </w:pPr>
            <w:r>
              <w:rPr/>
              <w:t>Inferred Area</w:t>
            </w:r>
          </w:p>
        </w:tc>
        <w:tc>
          <w:tcPr>
            <w:tcW w:w="1316" w:type="dxa"/>
            <w:tcBorders>
              <w:bottom w:val="single" w:sz="12" w:space="0" w:color="000000"/>
            </w:tcBorders>
            <w:shd w:fill="800000" w:val="clear"/>
          </w:tcPr>
          <w:p>
            <w:pPr>
              <w:pStyle w:val="Normal"/>
              <w:ind w:end="-720" w:hanging="0"/>
              <w:jc w:val="both"/>
              <w:rPr/>
            </w:pPr>
            <w:r>
              <w:rPr/>
              <w:t>% Error</w:t>
            </w:r>
          </w:p>
        </w:tc>
      </w:tr>
      <w:tr>
        <w:trPr/>
        <w:tc>
          <w:tcPr>
            <w:tcW w:w="1188" w:type="dxa"/>
            <w:tcBorders/>
            <w:shd w:fill="FFFFCC" w:val="clear"/>
          </w:tcPr>
          <w:p>
            <w:pPr>
              <w:pStyle w:val="Normal"/>
              <w:ind w:end="-720" w:hanging="0"/>
              <w:jc w:val="both"/>
              <w:rPr/>
            </w:pPr>
            <w:r>
              <w:rPr/>
              <w:t>Circle</w:t>
            </w:r>
          </w:p>
        </w:tc>
        <w:tc>
          <w:tcPr>
            <w:tcW w:w="1260" w:type="dxa"/>
            <w:tcBorders/>
            <w:shd w:fill="FFFFCC" w:val="clear"/>
          </w:tcPr>
          <w:p>
            <w:pPr>
              <w:pStyle w:val="Normal"/>
              <w:ind w:end="-720" w:hanging="0"/>
              <w:jc w:val="both"/>
              <w:rPr/>
            </w:pPr>
            <w:r>
              <w:rPr/>
              <w:t>4.9087</w:t>
            </w:r>
          </w:p>
        </w:tc>
        <w:tc>
          <w:tcPr>
            <w:tcW w:w="1564" w:type="dxa"/>
            <w:tcBorders/>
            <w:shd w:fill="FFFFCC" w:val="clear"/>
          </w:tcPr>
          <w:p>
            <w:pPr>
              <w:pStyle w:val="Normal"/>
              <w:ind w:end="-720" w:hanging="0"/>
              <w:jc w:val="both"/>
              <w:rPr/>
            </w:pPr>
            <w:r>
              <w:rPr/>
              <w:t>5.0484</w:t>
            </w:r>
          </w:p>
        </w:tc>
        <w:tc>
          <w:tcPr>
            <w:tcW w:w="1316" w:type="dxa"/>
            <w:tcBorders>
              <w:top w:val="single" w:sz="12" w:space="0" w:color="000000"/>
            </w:tcBorders>
            <w:shd w:fill="C0C0C0" w:val="clear"/>
          </w:tcPr>
          <w:p>
            <w:pPr>
              <w:pStyle w:val="Normal"/>
              <w:ind w:end="-720" w:hanging="0"/>
              <w:jc w:val="both"/>
              <w:rPr/>
            </w:pPr>
            <w:r>
              <w:rPr/>
              <w:t>2.8459</w:t>
            </w:r>
          </w:p>
        </w:tc>
      </w:tr>
      <w:tr>
        <w:trPr/>
        <w:tc>
          <w:tcPr>
            <w:tcW w:w="1188" w:type="dxa"/>
            <w:tcBorders/>
            <w:shd w:fill="FFFFCC" w:val="clear"/>
          </w:tcPr>
          <w:p>
            <w:pPr>
              <w:pStyle w:val="Normal"/>
              <w:ind w:end="-720" w:hanging="0"/>
              <w:jc w:val="both"/>
              <w:rPr/>
            </w:pPr>
            <w:r>
              <w:rPr/>
              <w:t>Square</w:t>
            </w:r>
          </w:p>
        </w:tc>
        <w:tc>
          <w:tcPr>
            <w:tcW w:w="1260" w:type="dxa"/>
            <w:tcBorders/>
            <w:shd w:fill="FFFFCC" w:val="clear"/>
          </w:tcPr>
          <w:p>
            <w:pPr>
              <w:pStyle w:val="Normal"/>
              <w:ind w:end="-720" w:hanging="0"/>
              <w:jc w:val="both"/>
              <w:rPr/>
            </w:pPr>
            <w:r>
              <w:rPr/>
              <w:t>6.2500</w:t>
            </w:r>
          </w:p>
        </w:tc>
        <w:tc>
          <w:tcPr>
            <w:tcW w:w="1564" w:type="dxa"/>
            <w:tcBorders/>
            <w:shd w:fill="FFFFCC" w:val="clear"/>
          </w:tcPr>
          <w:p>
            <w:pPr>
              <w:pStyle w:val="Normal"/>
              <w:ind w:end="-720" w:hanging="0"/>
              <w:jc w:val="both"/>
              <w:rPr/>
            </w:pPr>
            <w:r>
              <w:rPr/>
              <w:t xml:space="preserve"> </w:t>
            </w:r>
            <w:r>
              <w:rPr/>
              <w:t>-</w:t>
            </w:r>
          </w:p>
        </w:tc>
        <w:tc>
          <w:tcPr>
            <w:tcW w:w="1316" w:type="dxa"/>
            <w:tcBorders/>
            <w:shd w:fill="C0C0C0" w:val="clear"/>
          </w:tcPr>
          <w:p>
            <w:pPr>
              <w:pStyle w:val="Normal"/>
              <w:ind w:end="-720" w:hanging="0"/>
              <w:jc w:val="both"/>
              <w:rPr/>
            </w:pPr>
            <w:r>
              <w:rPr/>
              <w:t xml:space="preserve">     </w:t>
            </w:r>
            <w:r>
              <w:rPr/>
              <w:t>-</w:t>
            </w:r>
          </w:p>
        </w:tc>
      </w:tr>
      <w:tr>
        <w:trPr/>
        <w:tc>
          <w:tcPr>
            <w:tcW w:w="1188" w:type="dxa"/>
            <w:tcBorders/>
            <w:shd w:fill="FFFFCC" w:val="clear"/>
          </w:tcPr>
          <w:p>
            <w:pPr>
              <w:pStyle w:val="Normal"/>
              <w:ind w:end="-720" w:hanging="0"/>
              <w:jc w:val="both"/>
              <w:rPr/>
            </w:pPr>
            <w:r>
              <w:rPr/>
              <w:t>Pentagon</w:t>
            </w:r>
          </w:p>
        </w:tc>
        <w:tc>
          <w:tcPr>
            <w:tcW w:w="1260" w:type="dxa"/>
            <w:tcBorders/>
            <w:shd w:fill="FFFFCC" w:val="clear"/>
          </w:tcPr>
          <w:p>
            <w:pPr>
              <w:pStyle w:val="Normal"/>
              <w:ind w:end="-720" w:hanging="0"/>
              <w:jc w:val="both"/>
              <w:rPr/>
            </w:pPr>
            <w:r>
              <w:rPr/>
              <w:t>3.8711</w:t>
            </w:r>
          </w:p>
        </w:tc>
        <w:tc>
          <w:tcPr>
            <w:tcW w:w="1564" w:type="dxa"/>
            <w:tcBorders/>
            <w:shd w:fill="FFFFCC" w:val="clear"/>
          </w:tcPr>
          <w:p>
            <w:pPr>
              <w:pStyle w:val="Normal"/>
              <w:ind w:end="-720" w:hanging="0"/>
              <w:jc w:val="both"/>
              <w:rPr/>
            </w:pPr>
            <w:r>
              <w:rPr/>
              <w:t>3.881</w:t>
            </w:r>
          </w:p>
        </w:tc>
        <w:tc>
          <w:tcPr>
            <w:tcW w:w="1316" w:type="dxa"/>
            <w:tcBorders/>
            <w:shd w:fill="C0C0C0" w:val="clear"/>
          </w:tcPr>
          <w:p>
            <w:pPr>
              <w:pStyle w:val="Normal"/>
              <w:ind w:end="-720" w:hanging="0"/>
              <w:jc w:val="both"/>
              <w:rPr/>
            </w:pPr>
            <w:r>
              <w:rPr/>
              <w:t>0.2554</w:t>
            </w:r>
          </w:p>
        </w:tc>
      </w:tr>
      <w:tr>
        <w:trPr/>
        <w:tc>
          <w:tcPr>
            <w:tcW w:w="1188" w:type="dxa"/>
            <w:tcBorders/>
            <w:shd w:fill="FFFFCC" w:val="clear"/>
          </w:tcPr>
          <w:p>
            <w:pPr>
              <w:pStyle w:val="Normal"/>
              <w:ind w:end="-720" w:hanging="0"/>
              <w:jc w:val="both"/>
              <w:rPr/>
            </w:pPr>
            <w:r>
              <w:rPr/>
              <w:t>Ellipse</w:t>
            </w:r>
          </w:p>
        </w:tc>
        <w:tc>
          <w:tcPr>
            <w:tcW w:w="1260" w:type="dxa"/>
            <w:tcBorders/>
            <w:shd w:fill="FFFFCC" w:val="clear"/>
          </w:tcPr>
          <w:p>
            <w:pPr>
              <w:pStyle w:val="Normal"/>
              <w:ind w:end="-720" w:hanging="0"/>
              <w:jc w:val="both"/>
              <w:rPr/>
            </w:pPr>
            <w:r>
              <w:rPr/>
              <w:t>2.9268</w:t>
            </w:r>
          </w:p>
        </w:tc>
        <w:tc>
          <w:tcPr>
            <w:tcW w:w="1564" w:type="dxa"/>
            <w:tcBorders/>
            <w:shd w:fill="FFFFCC" w:val="clear"/>
          </w:tcPr>
          <w:p>
            <w:pPr>
              <w:pStyle w:val="Normal"/>
              <w:ind w:end="-720" w:hanging="0"/>
              <w:jc w:val="both"/>
              <w:rPr/>
            </w:pPr>
            <w:r>
              <w:rPr/>
              <w:t>2.8866</w:t>
            </w:r>
          </w:p>
        </w:tc>
        <w:tc>
          <w:tcPr>
            <w:tcW w:w="1316" w:type="dxa"/>
            <w:tcBorders/>
            <w:shd w:fill="C0C0C0" w:val="clear"/>
          </w:tcPr>
          <w:p>
            <w:pPr>
              <w:pStyle w:val="Normal"/>
              <w:ind w:end="-720" w:hanging="0"/>
              <w:jc w:val="both"/>
              <w:rPr/>
            </w:pPr>
            <w:r>
              <w:rPr/>
              <w:t>1.3730</w:t>
            </w:r>
          </w:p>
        </w:tc>
      </w:tr>
      <w:tr>
        <w:trPr/>
        <w:tc>
          <w:tcPr>
            <w:tcW w:w="1188" w:type="dxa"/>
            <w:tcBorders/>
            <w:shd w:fill="FFFFCC" w:val="clear"/>
          </w:tcPr>
          <w:p>
            <w:pPr>
              <w:pStyle w:val="Normal"/>
              <w:ind w:end="-720" w:hanging="0"/>
              <w:jc w:val="both"/>
              <w:rPr/>
            </w:pPr>
            <w:r>
              <w:rPr/>
              <w:t>Triangle</w:t>
            </w:r>
          </w:p>
        </w:tc>
        <w:tc>
          <w:tcPr>
            <w:tcW w:w="1260" w:type="dxa"/>
            <w:tcBorders/>
            <w:shd w:fill="FFFFCC" w:val="clear"/>
          </w:tcPr>
          <w:p>
            <w:pPr>
              <w:pStyle w:val="Normal"/>
              <w:ind w:end="-720" w:hanging="0"/>
              <w:jc w:val="both"/>
              <w:rPr/>
            </w:pPr>
            <w:r>
              <w:rPr/>
              <w:t>2.7063</w:t>
            </w:r>
          </w:p>
        </w:tc>
        <w:tc>
          <w:tcPr>
            <w:tcW w:w="1564" w:type="dxa"/>
            <w:tcBorders/>
            <w:shd w:fill="FFFFCC" w:val="clear"/>
          </w:tcPr>
          <w:p>
            <w:pPr>
              <w:pStyle w:val="Normal"/>
              <w:ind w:end="-720" w:hanging="0"/>
              <w:jc w:val="both"/>
              <w:rPr/>
            </w:pPr>
            <w:r>
              <w:rPr/>
              <w:t>2.7314</w:t>
            </w:r>
          </w:p>
        </w:tc>
        <w:tc>
          <w:tcPr>
            <w:tcW w:w="1316" w:type="dxa"/>
            <w:tcBorders/>
            <w:shd w:fill="C0C0C0" w:val="clear"/>
          </w:tcPr>
          <w:p>
            <w:pPr>
              <w:pStyle w:val="Normal"/>
              <w:ind w:end="-720" w:hanging="0"/>
              <w:jc w:val="both"/>
              <w:rPr/>
            </w:pPr>
            <w:r>
              <w:rPr/>
              <w:t>0.9280</w:t>
            </w:r>
          </w:p>
        </w:tc>
      </w:tr>
      <w:tr>
        <w:trPr/>
        <w:tc>
          <w:tcPr>
            <w:tcW w:w="1188" w:type="dxa"/>
            <w:tcBorders/>
            <w:shd w:fill="FFFFCC" w:val="clear"/>
          </w:tcPr>
          <w:p>
            <w:pPr>
              <w:pStyle w:val="Normal"/>
              <w:ind w:end="-720" w:hanging="0"/>
              <w:jc w:val="both"/>
              <w:rPr/>
            </w:pPr>
            <w:r>
              <w:rPr/>
              <w:t>Irregular</w:t>
            </w:r>
          </w:p>
        </w:tc>
        <w:tc>
          <w:tcPr>
            <w:tcW w:w="1260" w:type="dxa"/>
            <w:tcBorders/>
            <w:shd w:fill="FFFFCC" w:val="clear"/>
          </w:tcPr>
          <w:p>
            <w:pPr>
              <w:pStyle w:val="Normal"/>
              <w:ind w:end="-720" w:hanging="0"/>
              <w:jc w:val="both"/>
              <w:rPr/>
            </w:pPr>
            <w:r>
              <w:rPr/>
              <w:t xml:space="preserve">  </w:t>
            </w:r>
            <w:r>
              <w:rPr/>
              <w:t>-</w:t>
            </w:r>
          </w:p>
        </w:tc>
        <w:tc>
          <w:tcPr>
            <w:tcW w:w="1564" w:type="dxa"/>
            <w:tcBorders/>
            <w:shd w:fill="FFFFCC" w:val="clear"/>
          </w:tcPr>
          <w:p>
            <w:pPr>
              <w:pStyle w:val="Normal"/>
              <w:ind w:end="-720" w:hanging="0"/>
              <w:jc w:val="both"/>
              <w:rPr/>
            </w:pPr>
            <w:r>
              <w:rPr/>
              <w:t>2.4040</w:t>
            </w:r>
          </w:p>
        </w:tc>
        <w:tc>
          <w:tcPr>
            <w:tcW w:w="1316" w:type="dxa"/>
            <w:tcBorders/>
            <w:shd w:fill="C0C0C0" w:val="clear"/>
          </w:tcPr>
          <w:p>
            <w:pPr>
              <w:pStyle w:val="Normal"/>
              <w:ind w:end="-720" w:hanging="0"/>
              <w:jc w:val="both"/>
              <w:rPr/>
            </w:pPr>
            <w:r>
              <w:rPr/>
              <w:t xml:space="preserve">   </w:t>
            </w:r>
            <w:r>
              <w:rPr/>
              <w:t>-</w:t>
            </w:r>
          </w:p>
        </w:tc>
      </w:tr>
      <w:tr>
        <w:trPr/>
        <w:tc>
          <w:tcPr>
            <w:tcW w:w="1188" w:type="dxa"/>
            <w:tcBorders>
              <w:bottom w:val="single" w:sz="12" w:space="0" w:color="000000"/>
            </w:tcBorders>
            <w:shd w:fill="FFFFCC" w:val="clear"/>
          </w:tcPr>
          <w:p>
            <w:pPr>
              <w:pStyle w:val="Normal"/>
              <w:ind w:end="-720" w:hanging="0"/>
              <w:jc w:val="both"/>
              <w:rPr/>
            </w:pPr>
            <w:r>
              <w:rPr/>
              <w:t>Hexagon</w:t>
            </w:r>
          </w:p>
        </w:tc>
        <w:tc>
          <w:tcPr>
            <w:tcW w:w="1260" w:type="dxa"/>
            <w:tcBorders>
              <w:bottom w:val="single" w:sz="12" w:space="0" w:color="000000"/>
            </w:tcBorders>
            <w:shd w:fill="FFFFCC" w:val="clear"/>
          </w:tcPr>
          <w:p>
            <w:pPr>
              <w:pStyle w:val="Normal"/>
              <w:ind w:end="-720" w:hanging="0"/>
              <w:jc w:val="both"/>
              <w:rPr/>
            </w:pPr>
            <w:r>
              <w:rPr/>
              <w:t>4.0595</w:t>
            </w:r>
          </w:p>
        </w:tc>
        <w:tc>
          <w:tcPr>
            <w:tcW w:w="1564" w:type="dxa"/>
            <w:tcBorders>
              <w:bottom w:val="single" w:sz="12" w:space="0" w:color="000000"/>
            </w:tcBorders>
            <w:shd w:fill="FFFFCC" w:val="clear"/>
          </w:tcPr>
          <w:p>
            <w:pPr>
              <w:pStyle w:val="Normal"/>
              <w:ind w:end="-720" w:hanging="0"/>
              <w:jc w:val="both"/>
              <w:rPr/>
            </w:pPr>
            <w:r>
              <w:rPr/>
              <w:t>4.130</w:t>
            </w:r>
          </w:p>
        </w:tc>
        <w:tc>
          <w:tcPr>
            <w:tcW w:w="1316" w:type="dxa"/>
            <w:tcBorders>
              <w:bottom w:val="single" w:sz="12" w:space="0" w:color="000000"/>
            </w:tcBorders>
            <w:shd w:fill="C0C0C0" w:val="clear"/>
          </w:tcPr>
          <w:p>
            <w:pPr>
              <w:pStyle w:val="Normal"/>
              <w:ind w:end="-720" w:hanging="0"/>
              <w:jc w:val="both"/>
              <w:rPr/>
            </w:pPr>
            <w:r>
              <w:rPr/>
              <w:t>1.7576</w:t>
            </w:r>
          </w:p>
        </w:tc>
      </w:tr>
    </w:tbl>
    <w:p>
      <w:pPr>
        <w:pStyle w:val="Normal"/>
        <w:ind w:end="-720" w:hanging="0"/>
        <w:jc w:val="both"/>
        <w:rPr/>
      </w:pPr>
      <w:r>
        <w:rPr/>
        <w:t xml:space="preserve">                        </w:t>
      </w:r>
      <w:r>
        <w:rPr>
          <w:b/>
        </w:rPr>
        <w:t>Table 1</w:t>
      </w:r>
      <w:r>
        <w:rPr/>
        <w:t>. Summary of the shapes used in calculations of areas.</w:t>
      </w:r>
    </w:p>
    <w:p>
      <w:pPr>
        <w:pStyle w:val="Normal"/>
        <w:ind w:end="-720" w:hanging="0"/>
        <w:jc w:val="both"/>
        <w:rPr/>
      </w:pPr>
      <w:r>
        <w:rPr/>
      </w:r>
    </w:p>
    <w:p>
      <w:pPr>
        <w:pStyle w:val="Normal"/>
        <w:ind w:end="-720" w:hanging="0"/>
        <w:jc w:val="both"/>
        <w:rPr>
          <w:b/>
          <w:b/>
          <w:i/>
          <w:i/>
        </w:rPr>
      </w:pPr>
      <w:r>
        <w:rPr>
          <w:b/>
          <w:i/>
        </w:rPr>
        <w:t>Discussion</w:t>
      </w:r>
    </w:p>
    <w:p>
      <w:pPr>
        <w:pStyle w:val="Normal"/>
        <w:ind w:end="-720" w:hanging="0"/>
        <w:jc w:val="both"/>
        <w:rPr/>
      </w:pPr>
      <w:r>
        <w:rPr/>
        <w:t xml:space="preserve">      </w:t>
      </w:r>
      <w:r>
        <w:rPr/>
        <w:t xml:space="preserve">The inferred areas can be seen to agree well with the theoretical values. The square is used as a standard from which all other areas are derived because its simple geometry can be cut out very precisely, hence its area can best approximate the theoretical value that is given by the square of the length of a side. The theoretical area of the irregular figure is unknown because it is the object of this lesson to demonstrate how one might simply calculate the area of a complex shape that may defy analytic tractability.   </w:t>
      </w:r>
    </w:p>
    <w:p>
      <w:pPr>
        <w:pStyle w:val="Normal"/>
        <w:ind w:end="-720" w:hanging="0"/>
        <w:jc w:val="both"/>
        <w:rPr>
          <w:b/>
          <w:b/>
          <w:i/>
          <w:i/>
        </w:rPr>
      </w:pPr>
      <w:r>
        <w:rPr/>
        <w:t xml:space="preserve">      </w:t>
      </w:r>
      <w:r>
        <w:rPr/>
        <w:t>To understand the sources of error, thickness measurements of each shape were taken randomly using a micrometer capable of measuring to within 50x10</w:t>
      </w:r>
      <w:r>
        <w:rPr>
          <w:kern w:val="2"/>
          <w:vertAlign w:val="superscript"/>
        </w:rPr>
        <w:t>-6</w:t>
      </w:r>
      <w:r>
        <w:rPr/>
        <w:t xml:space="preserve"> inches. The histogram in figure 2 shows that the variation in thickness appears to span a small range: the standard deviation of the oak tag thickness is 1.2223 x10</w:t>
      </w:r>
      <w:r>
        <w:rPr>
          <w:kern w:val="2"/>
          <w:vertAlign w:val="superscript"/>
        </w:rPr>
        <w:t>-4</w:t>
      </w:r>
      <w:r>
        <w:rPr/>
        <w:t>inches. Its mean thickness is 9.600 x10</w:t>
      </w:r>
      <w:r>
        <w:rPr>
          <w:kern w:val="2"/>
          <w:vertAlign w:val="superscript"/>
        </w:rPr>
        <w:t>-3</w:t>
      </w:r>
      <w:r>
        <w:rPr/>
        <w:t>inches, or approximately 78 standard deviations!  This means that the oak tag is essentially uniformly thick. Thus the source of error lies not in variations in thickness, but must be attributed to errors in cutting out the figures.</w:t>
      </w:r>
    </w:p>
    <w:p>
      <w:pPr>
        <w:pStyle w:val="Normal"/>
        <w:ind w:end="-720" w:hanging="0"/>
        <w:jc w:val="both"/>
        <w:rPr>
          <w:b/>
          <w:b/>
          <w:i/>
          <w:i/>
        </w:rPr>
      </w:pPr>
      <w:r>
        <w:rPr>
          <w:b/>
          <w:i/>
        </w:rPr>
      </w:r>
    </w:p>
    <w:p>
      <w:pPr>
        <w:pStyle w:val="Normal"/>
        <w:ind w:end="-720" w:hanging="0"/>
        <w:jc w:val="both"/>
        <w:rPr/>
      </w:pPr>
      <w:r>
        <w:rPr/>
      </w:r>
    </w:p>
    <w:p>
      <w:pPr>
        <w:pStyle w:val="Normal"/>
        <w:ind w:end="-720" w:hanging="0"/>
        <w:jc w:val="both"/>
        <w:rPr/>
      </w:pPr>
      <w:r>
        <w:rPr/>
        <w:drawing>
          <wp:inline distT="0" distB="0" distL="0" distR="0">
            <wp:extent cx="5482590" cy="3251835"/>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7"/>
                    <a:srcRect l="-5" t="-9" r="-5" b="-9"/>
                    <a:stretch>
                      <a:fillRect/>
                    </a:stretch>
                  </pic:blipFill>
                  <pic:spPr bwMode="auto">
                    <a:xfrm>
                      <a:off x="0" y="0"/>
                      <a:ext cx="5482590" cy="3251835"/>
                    </a:xfrm>
                    <a:prstGeom prst="rect">
                      <a:avLst/>
                    </a:prstGeom>
                  </pic:spPr>
                </pic:pic>
              </a:graphicData>
            </a:graphic>
          </wp:inline>
        </w:drawing>
      </w:r>
    </w:p>
    <w:p>
      <w:pPr>
        <w:pStyle w:val="Normal"/>
        <w:ind w:end="-720" w:hanging="0"/>
        <w:jc w:val="both"/>
        <w:rPr/>
      </w:pPr>
      <w:r>
        <w:rPr/>
        <w:t xml:space="preserve">                            </w:t>
      </w:r>
      <w:r>
        <w:rPr>
          <w:b/>
        </w:rPr>
        <w:t>Fig.</w:t>
      </w:r>
      <w:r>
        <w:rPr/>
        <w:t xml:space="preserve"> </w:t>
      </w:r>
      <w:r>
        <w:rPr>
          <w:b/>
        </w:rPr>
        <w:t>2</w:t>
      </w:r>
      <w:r>
        <w:rPr/>
        <w:t xml:space="preserve"> Histogram depicting oak tag thickness variations.</w:t>
      </w:r>
    </w:p>
    <w:p>
      <w:pPr>
        <w:pStyle w:val="Normal"/>
        <w:ind w:end="-720" w:hanging="0"/>
        <w:jc w:val="both"/>
        <w:rPr>
          <w:b/>
          <w:b/>
          <w:i/>
          <w:i/>
        </w:rPr>
      </w:pPr>
      <w:r>
        <w:rPr>
          <w:b/>
          <w:i/>
        </w:rPr>
      </w:r>
    </w:p>
    <w:p>
      <w:pPr>
        <w:pStyle w:val="Normal"/>
        <w:ind w:end="-720" w:hanging="0"/>
        <w:jc w:val="both"/>
        <w:rPr>
          <w:b/>
          <w:b/>
          <w:i/>
          <w:i/>
        </w:rPr>
      </w:pPr>
      <w:r>
        <w:rPr>
          <w:b/>
          <w:i/>
        </w:rPr>
        <w:t>Conclusion</w:t>
      </w:r>
    </w:p>
    <w:p>
      <w:pPr>
        <w:pStyle w:val="Normal"/>
        <w:ind w:end="-720" w:hanging="0"/>
        <w:jc w:val="both"/>
        <w:rPr/>
      </w:pPr>
      <w:r>
        <w:rPr>
          <w:color w:val="FF0000"/>
        </w:rPr>
        <w:tab/>
      </w:r>
      <w:r>
        <w:rPr/>
        <w:t>A method for calculating simple and complex planar areas is described in this lesson. The method involves using a balance to weigh shapes of interest and a proportion of the area to the weight of a square to calculate the area of the shape of interest. This is useful because of its generality: areas of regions that are not analytically tractable can be readily estimated. The accuracy is limited mainly by the precision of cutting the shape’s boundary. To rescale the area it is simply necessary to multiply the minimum and maximum dimensions by an appropriate scale factor.</w:t>
      </w:r>
    </w:p>
    <w:p>
      <w:pPr>
        <w:pStyle w:val="Normal"/>
        <w:ind w:end="-720" w:hanging="0"/>
        <w:jc w:val="both"/>
        <w:rPr/>
      </w:pPr>
      <w:r>
        <w:rPr/>
        <w:t xml:space="preserve">      </w:t>
      </w:r>
      <w:r>
        <w:rPr/>
        <w:t>For instance, considering first the circle, by letting radius r-&gt;</w:t>
      </w:r>
      <w:r>
        <w:rPr>
          <w:rFonts w:cs="Symbol" w:ascii="Symbol" w:hAnsi="Symbol"/>
        </w:rPr>
        <w:t></w:t>
      </w:r>
      <w:r>
        <w:rPr/>
        <w:t xml:space="preserve">r, the area is rescaled by a factor of </w:t>
      </w:r>
      <w:r>
        <w:rPr>
          <w:rFonts w:cs="Symbol" w:ascii="Symbol" w:hAnsi="Symbol"/>
        </w:rPr>
        <w:t></w:t>
      </w:r>
      <w:r>
        <w:rPr>
          <w:kern w:val="2"/>
          <w:vertAlign w:val="superscript"/>
        </w:rPr>
        <w:t>2</w:t>
      </w:r>
      <w:r>
        <w:rPr/>
        <w:t xml:space="preserve">. If  </w:t>
      </w:r>
      <w:r>
        <w:rPr>
          <w:rFonts w:cs="Symbol" w:ascii="Symbol" w:hAnsi="Symbol"/>
        </w:rPr>
        <w:t></w:t>
      </w:r>
      <w:r>
        <w:rPr/>
        <w:t xml:space="preserve">&gt;1, the area is enlarged. If </w:t>
      </w:r>
      <w:r>
        <w:rPr>
          <w:rFonts w:cs="Symbol" w:ascii="Symbol" w:hAnsi="Symbol"/>
        </w:rPr>
        <w:t></w:t>
      </w:r>
      <w:r>
        <w:rPr/>
        <w:t>&lt;1 the area is contracted. In the case of an ellipse, if the semi-major ‘a’ axis is rescaled to ‘</w:t>
      </w:r>
      <w:r>
        <w:rPr>
          <w:rFonts w:cs="Symbol" w:ascii="Symbol" w:hAnsi="Symbol"/>
        </w:rPr>
        <w:t></w:t>
      </w:r>
      <w:r>
        <w:rPr/>
        <w:t>a’ and similarly the semi-minor ‘b’ axis ‘b’ is rescaled to ‘</w:t>
      </w:r>
      <w:r>
        <w:rPr>
          <w:rFonts w:cs="Symbol" w:ascii="Symbol" w:hAnsi="Symbol"/>
        </w:rPr>
        <w:t></w:t>
      </w:r>
      <w:r>
        <w:rPr/>
        <w:t xml:space="preserve">b’, the area of the ellipse pi*(a*b) is rescaled to </w:t>
      </w:r>
      <w:r>
        <w:rPr>
          <w:rFonts w:cs="Symbol" w:ascii="Symbol" w:hAnsi="Symbol"/>
        </w:rPr>
        <w:t></w:t>
      </w:r>
      <w:r>
        <w:rPr>
          <w:kern w:val="2"/>
          <w:vertAlign w:val="superscript"/>
        </w:rPr>
        <w:t>2</w:t>
      </w:r>
      <w:r>
        <w:rPr/>
        <w:t xml:space="preserve">*pi*(a*b). The same principle applies to irregular shapes, the only difference being that the minimum and maximum dimensions are rescaled, and in so doing, result in a corresponding rescaling of the area by the factor </w:t>
      </w:r>
      <w:r>
        <w:rPr>
          <w:rFonts w:cs="Symbol" w:ascii="Symbol" w:hAnsi="Symbol"/>
        </w:rPr>
        <w:t></w:t>
      </w:r>
      <w:r>
        <w:rPr>
          <w:kern w:val="2"/>
          <w:vertAlign w:val="superscript"/>
        </w:rPr>
        <w:t>2</w:t>
      </w:r>
      <w:r>
        <w:rPr/>
        <w:t xml:space="preserve">. </w:t>
      </w:r>
    </w:p>
    <w:p>
      <w:pPr>
        <w:pStyle w:val="Normal"/>
        <w:ind w:end="-720" w:hanging="0"/>
        <w:jc w:val="both"/>
        <w:rPr/>
      </w:pPr>
      <w:r>
        <w:rPr/>
      </w:r>
    </w:p>
    <w:p>
      <w:pPr>
        <w:pStyle w:val="Normal"/>
        <w:ind w:end="-720" w:hanging="0"/>
        <w:jc w:val="both"/>
        <w:rPr>
          <w:b/>
          <w:b/>
          <w:i/>
          <w:i/>
        </w:rPr>
      </w:pPr>
      <w:r>
        <w:rPr>
          <w:b/>
          <w:i/>
        </w:rPr>
        <w:t>Practicality</w:t>
      </w:r>
    </w:p>
    <w:p>
      <w:pPr>
        <w:pStyle w:val="Normal"/>
        <w:ind w:end="-720" w:hanging="0"/>
        <w:jc w:val="both"/>
        <w:rPr/>
      </w:pPr>
      <w:r>
        <w:rPr/>
        <w:t xml:space="preserve">       </w:t>
      </w:r>
      <w:r>
        <w:rPr/>
        <w:t>Regarding the practicality of the method, one of us (PG) has applied this technique to the calculation of complex planar areas that were used in a peer reviewed paper</w:t>
      </w:r>
      <w:r>
        <w:rPr>
          <w:kern w:val="2"/>
          <w:vertAlign w:val="superscript"/>
        </w:rPr>
        <w:t>1</w:t>
      </w:r>
      <w:r>
        <w:rPr/>
        <w:t xml:space="preserve">.  It was a time saving method that yielded very good accuracy. </w:t>
      </w:r>
    </w:p>
    <w:p>
      <w:pPr>
        <w:pStyle w:val="Normal"/>
        <w:ind w:end="-720" w:hanging="0"/>
        <w:jc w:val="both"/>
        <w:rPr/>
      </w:pPr>
      <w:r>
        <w:rPr/>
      </w:r>
    </w:p>
    <w:p>
      <w:pPr>
        <w:pStyle w:val="Normal"/>
        <w:ind w:end="-720" w:hanging="0"/>
        <w:jc w:val="both"/>
        <w:rPr/>
      </w:pPr>
      <w:r>
        <w:rPr/>
      </w:r>
    </w:p>
    <w:p>
      <w:pPr>
        <w:pStyle w:val="NormalWeb"/>
        <w:shd w:fill="FFFFFF" w:val="clear"/>
        <w:rPr/>
      </w:pPr>
      <w:r>
        <w:rPr>
          <w:rFonts w:cs="Times New Roman" w:ascii="Times New Roman" w:hAnsi="Times New Roman"/>
          <w:color w:val="000000"/>
          <w:lang w:val="en"/>
        </w:rPr>
        <w:t xml:space="preserve">1. Gabriel, P.,  H. W. Barker, D. O’Brien,  N. Ferlay and G. L. Stephens. 2009. Statistical Approaches to Plane-Parallel Error Identification and Retrievals of Optical and Microphysical Properties in 3D Clouds Part 1:  Bayesian Inference. </w:t>
      </w:r>
      <w:r>
        <w:rPr>
          <w:rStyle w:val="Emphasis"/>
          <w:rFonts w:cs="Times New Roman" w:ascii="Times New Roman" w:hAnsi="Times New Roman"/>
          <w:color w:val="000000"/>
          <w:lang w:val="en"/>
        </w:rPr>
        <w:t>J. Geophys. Res.</w:t>
      </w:r>
      <w:r>
        <w:rPr>
          <w:rFonts w:cs="Times New Roman" w:ascii="Times New Roman" w:hAnsi="Times New Roman"/>
          <w:color w:val="000000"/>
          <w:lang w:val="en"/>
        </w:rPr>
        <w:t xml:space="preserve">, </w:t>
      </w:r>
      <w:r>
        <w:rPr>
          <w:rStyle w:val="StrongEmphasis"/>
          <w:rFonts w:cs="Times New Roman" w:ascii="Times New Roman" w:hAnsi="Times New Roman"/>
          <w:color w:val="000000"/>
          <w:lang w:val="en"/>
        </w:rPr>
        <w:t>114</w:t>
      </w:r>
      <w:r>
        <w:rPr>
          <w:rFonts w:cs="Times New Roman" w:ascii="Times New Roman" w:hAnsi="Times New Roman"/>
          <w:color w:val="000000"/>
          <w:lang w:val="en"/>
        </w:rPr>
        <w:t>, D06207, doi:10.1029/2008JD011005.</w:t>
      </w:r>
    </w:p>
    <w:p>
      <w:pPr>
        <w:pStyle w:val="Normal"/>
        <w:ind w:end="-720" w:hanging="0"/>
        <w:jc w:val="both"/>
        <w:rPr>
          <w:rFonts w:ascii="Times New Roman" w:hAnsi="Times New Roman" w:cs="Times New Roman"/>
          <w:color w:val="000000"/>
          <w:kern w:val="2"/>
          <w:vertAlign w:val="superscript"/>
          <w:lang w:val="en"/>
        </w:rPr>
      </w:pPr>
      <w:r>
        <w:rPr>
          <w:rFonts w:cs="Times New Roman"/>
          <w:color w:val="000000"/>
          <w:kern w:val="2"/>
          <w:vertAlign w:val="superscript"/>
          <w:lang w:val="en"/>
        </w:rPr>
      </w:r>
    </w:p>
    <w:sectPr>
      <w:type w:val="nextPage"/>
      <w:pgSz w:w="12240" w:h="15840"/>
      <w:pgMar w:left="1800" w:right="1800" w:header="0" w:top="1008" w:footer="0" w:bottom="8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Wingdings">
    <w:charset w:val="02"/>
    <w:family w:val="auto"/>
    <w:pitch w:val="variable"/>
  </w:font>
  <w:font w:name="Liberation Sans">
    <w:altName w:val="Arial"/>
    <w:charset w:val="01" w:characterSet="utf-8"/>
    <w:family w:val="swiss"/>
    <w:pitch w:val="variable"/>
  </w:font>
  <w:font w:name="Verdana">
    <w:charset w:val="00" w:characterSet="windows-1252"/>
    <w:family w:val="swiss"/>
    <w:pitch w:val="variable"/>
  </w:font>
  <w:font w:name="Times">
    <w:altName w:val="Times New Roman"/>
    <w:charset w:val="00" w:characterSet="windows-125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1440"/>
        </w:tabs>
        <w:ind w:start="144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Emphasis">
    <w:name w:val="Emphasis"/>
    <w:basedOn w:val="DefaultParagraphFont"/>
    <w:qFormat/>
    <w:rPr>
      <w:i/>
      <w:iCs/>
    </w:rPr>
  </w:style>
  <w:style w:type="character" w:styleId="StrongEmphasis">
    <w:name w:val="Strong Emphasis"/>
    <w:basedOn w:val="DefaultParagraphFont"/>
    <w:qFormat/>
    <w:rPr>
      <w:b/>
      <w:b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MTDisplayEquation">
    <w:name w:val="MTDisplayEquation"/>
    <w:basedOn w:val="Normal"/>
    <w:next w:val="Normal"/>
    <w:qFormat/>
    <w:pPr>
      <w:tabs>
        <w:tab w:val="clear" w:pos="720"/>
        <w:tab w:val="center" w:pos="4320" w:leader="none"/>
        <w:tab w:val="right" w:pos="8640" w:leader="none"/>
      </w:tabs>
    </w:pPr>
    <w:rPr/>
  </w:style>
  <w:style w:type="paragraph" w:styleId="NormalWeb">
    <w:name w:val="Normal (Web)"/>
    <w:basedOn w:val="Normal"/>
    <w:qFormat/>
    <w:pPr>
      <w:spacing w:before="280" w:after="280"/>
    </w:pPr>
    <w:rPr>
      <w:rFonts w:ascii="Verdana" w:hAnsi="Verdana" w:cs="Verdan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abriel@atmos.colostate.edu" TargetMode="External"/><Relationship Id="rId3" Type="http://schemas.openxmlformats.org/officeDocument/2006/relationships/hyperlink" Target="mailto:skathryngrimes@comcast.net" TargetMode="External"/><Relationship Id="rId4" Type="http://schemas.openxmlformats.org/officeDocument/2006/relationships/image" Target="media/image1.jpeg"/><Relationship Id="rId5" Type="http://schemas.openxmlformats.org/officeDocument/2006/relationships/oleObject" Target="embeddings/oleObject1.bin"/><Relationship Id="rId6" Type="http://schemas.openxmlformats.org/officeDocument/2006/relationships/image" Target="media/image2.wmf"/><Relationship Id="rId7" Type="http://schemas.openxmlformats.org/officeDocument/2006/relationships/image" Target="media/image3.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233</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2011-09-04T16:36:00Z</dcterms:created>
  <dc:creator> </dc:creator>
  <dc:description/>
  <cp:keywords/>
  <dc:language>en-US</dc:language>
  <cp:lastModifiedBy>Sunshine</cp:lastModifiedBy>
  <cp:lastPrinted>2007-06-24T21:40:00Z</cp:lastPrinted>
  <dcterms:modified xsi:type="dcterms:W3CDTF">2011-09-04T23:03:00Z</dcterms:modified>
  <cp:revision>16</cp:revision>
  <dc:subject/>
  <dc:title>A Radical Technique for Solving Radicals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1</vt:bool>
  </property>
</Properties>
</file>